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A5E79" w14:textId="7106EF37" w:rsidR="006B3A76" w:rsidRPr="006B3A76" w:rsidRDefault="00701395" w:rsidP="006B3A76">
      <w:pPr>
        <w:pStyle w:val="Title"/>
        <w:rPr>
          <w:lang w:val="en-US"/>
        </w:rPr>
      </w:pPr>
      <w:r w:rsidRPr="008D725E">
        <w:rPr>
          <w:lang w:val="en-US"/>
        </w:rPr>
        <w:t xml:space="preserve">Rules for </w:t>
      </w:r>
      <w:r w:rsidR="00FF7C92">
        <w:rPr>
          <w:lang w:val="en-US"/>
        </w:rPr>
        <w:t>e</w:t>
      </w:r>
      <w:r w:rsidRPr="008D725E">
        <w:rPr>
          <w:lang w:val="en-US"/>
        </w:rPr>
        <w:t>ntertain</w:t>
      </w:r>
      <w:r w:rsidR="002C7B86">
        <w:rPr>
          <w:lang w:val="en-US"/>
        </w:rPr>
        <w:t>ing employees and guests</w:t>
      </w:r>
    </w:p>
    <w:p w14:paraId="3B15CE1C" w14:textId="77777777" w:rsidR="00701395" w:rsidRPr="008D725E" w:rsidRDefault="00701395" w:rsidP="00701395">
      <w:pPr>
        <w:jc w:val="center"/>
        <w:rPr>
          <w:b/>
          <w:sz w:val="28"/>
          <w:szCs w:val="28"/>
          <w:lang w:val="en-US"/>
        </w:rPr>
      </w:pPr>
    </w:p>
    <w:p w14:paraId="2801B5D7" w14:textId="2CD6B399" w:rsidR="00EA077D" w:rsidRPr="00D566C1" w:rsidRDefault="00896B60" w:rsidP="00B24672">
      <w:pPr>
        <w:pStyle w:val="Heading1"/>
        <w:rPr>
          <w:lang w:val="en-US"/>
        </w:rPr>
      </w:pPr>
      <w:r w:rsidRPr="00D566C1">
        <w:rPr>
          <w:lang w:val="en-US"/>
        </w:rPr>
        <w:t xml:space="preserve">What </w:t>
      </w:r>
      <w:r w:rsidR="00FF7C92">
        <w:rPr>
          <w:lang w:val="en-US"/>
        </w:rPr>
        <w:t>is entertaining of employees and guests</w:t>
      </w:r>
      <w:r w:rsidRPr="00D566C1">
        <w:rPr>
          <w:lang w:val="en-US"/>
        </w:rPr>
        <w:t>?</w:t>
      </w:r>
    </w:p>
    <w:p w14:paraId="6704103F" w14:textId="06270789" w:rsidR="002C7B86" w:rsidRPr="002C7B86" w:rsidRDefault="00202569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 w:rsidRPr="002C7B86">
        <w:rPr>
          <w:lang w:val="en-US"/>
        </w:rPr>
        <w:t>Entertain</w:t>
      </w:r>
      <w:r w:rsidR="00FF7C92">
        <w:rPr>
          <w:lang w:val="en-US"/>
        </w:rPr>
        <w:t>ing</w:t>
      </w:r>
      <w:r w:rsidRPr="002C7B86">
        <w:rPr>
          <w:lang w:val="en-US"/>
        </w:rPr>
        <w:t xml:space="preserve"> </w:t>
      </w:r>
      <w:r w:rsidR="00541434" w:rsidRPr="002C7B86">
        <w:rPr>
          <w:lang w:val="en-US"/>
        </w:rPr>
        <w:t xml:space="preserve">is </w:t>
      </w:r>
      <w:r w:rsidR="00E04902" w:rsidRPr="002C7B86">
        <w:rPr>
          <w:lang w:val="en-US"/>
        </w:rPr>
        <w:t xml:space="preserve">expenses </w:t>
      </w:r>
      <w:r w:rsidR="00E144F8" w:rsidRPr="002C7B86">
        <w:rPr>
          <w:lang w:val="en-US"/>
        </w:rPr>
        <w:t>for gifts, flowers, receptions, refreshments, or the provision of me</w:t>
      </w:r>
      <w:r w:rsidR="00873D7B" w:rsidRPr="002C7B86">
        <w:rPr>
          <w:lang w:val="en-US"/>
        </w:rPr>
        <w:t xml:space="preserve">als for employees and guests in relation to </w:t>
      </w:r>
      <w:r w:rsidR="00E144F8" w:rsidRPr="002C7B86">
        <w:rPr>
          <w:lang w:val="en-US"/>
        </w:rPr>
        <w:t xml:space="preserve">official </w:t>
      </w:r>
      <w:r w:rsidR="00D90FFA" w:rsidRPr="002C7B86">
        <w:rPr>
          <w:lang w:val="en-US"/>
        </w:rPr>
        <w:t>gatherings and events.</w:t>
      </w:r>
    </w:p>
    <w:p w14:paraId="21F04031" w14:textId="2258D4C9" w:rsidR="002C7B86" w:rsidRPr="00114A9A" w:rsidRDefault="00561741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 xml:space="preserve">The </w:t>
      </w:r>
      <w:r w:rsidR="00202569">
        <w:rPr>
          <w:lang w:val="en-US"/>
        </w:rPr>
        <w:t xml:space="preserve">rules </w:t>
      </w:r>
      <w:r w:rsidR="00F75880">
        <w:rPr>
          <w:lang w:val="en-US"/>
        </w:rPr>
        <w:t xml:space="preserve">for entertainment expenses </w:t>
      </w:r>
      <w:r w:rsidR="00202569">
        <w:rPr>
          <w:lang w:val="en-US"/>
        </w:rPr>
        <w:t>apply to all</w:t>
      </w:r>
      <w:r>
        <w:rPr>
          <w:lang w:val="en-US"/>
        </w:rPr>
        <w:t xml:space="preserve"> </w:t>
      </w:r>
      <w:r w:rsidR="00DF29BD">
        <w:rPr>
          <w:lang w:val="en-US"/>
        </w:rPr>
        <w:t xml:space="preserve">ITU activities </w:t>
      </w:r>
      <w:r>
        <w:rPr>
          <w:lang w:val="en-US"/>
        </w:rPr>
        <w:t xml:space="preserve">whether </w:t>
      </w:r>
      <w:r w:rsidR="004B4BEE">
        <w:rPr>
          <w:lang w:val="en-US"/>
        </w:rPr>
        <w:t xml:space="preserve">funding </w:t>
      </w:r>
      <w:r w:rsidR="00C8615C">
        <w:rPr>
          <w:lang w:val="en-US"/>
        </w:rPr>
        <w:t>comes</w:t>
      </w:r>
      <w:r w:rsidR="004B4BEE">
        <w:rPr>
          <w:lang w:val="en-US"/>
        </w:rPr>
        <w:t xml:space="preserve"> from government grants, EU, nati</w:t>
      </w:r>
      <w:r>
        <w:rPr>
          <w:lang w:val="en-US"/>
        </w:rPr>
        <w:t xml:space="preserve">onal </w:t>
      </w:r>
      <w:r w:rsidR="004B4BEE">
        <w:rPr>
          <w:lang w:val="en-US"/>
        </w:rPr>
        <w:t>research councils or private funders.</w:t>
      </w:r>
    </w:p>
    <w:p w14:paraId="62C6149B" w14:textId="44E7D778" w:rsidR="004D20E1" w:rsidRDefault="00E144F8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rPr>
          <w:lang w:val="en-US"/>
        </w:rPr>
      </w:pPr>
      <w:r>
        <w:rPr>
          <w:lang w:val="en-US"/>
        </w:rPr>
        <w:t xml:space="preserve">There must </w:t>
      </w:r>
      <w:r w:rsidR="00561741">
        <w:rPr>
          <w:lang w:val="en-US"/>
        </w:rPr>
        <w:t xml:space="preserve">be a </w:t>
      </w:r>
      <w:r w:rsidR="00DF29BD">
        <w:rPr>
          <w:lang w:val="en-US"/>
        </w:rPr>
        <w:t>fair and reasona</w:t>
      </w:r>
      <w:r w:rsidR="00C8615C">
        <w:rPr>
          <w:lang w:val="en-US"/>
        </w:rPr>
        <w:t xml:space="preserve">ble </w:t>
      </w:r>
      <w:r w:rsidR="001444B4">
        <w:rPr>
          <w:lang w:val="en-US"/>
        </w:rPr>
        <w:t>r</w:t>
      </w:r>
      <w:r w:rsidR="00561741">
        <w:rPr>
          <w:lang w:val="en-US"/>
        </w:rPr>
        <w:t xml:space="preserve">elationship between the occasion </w:t>
      </w:r>
      <w:r w:rsidR="004D20E1">
        <w:rPr>
          <w:lang w:val="en-US"/>
        </w:rPr>
        <w:t xml:space="preserve">itself </w:t>
      </w:r>
      <w:r w:rsidR="00561741">
        <w:rPr>
          <w:lang w:val="en-US"/>
        </w:rPr>
        <w:t xml:space="preserve">and the </w:t>
      </w:r>
      <w:r w:rsidR="004D20E1">
        <w:rPr>
          <w:lang w:val="en-US"/>
        </w:rPr>
        <w:t>related expenses.</w:t>
      </w:r>
      <w:r w:rsidR="00561741">
        <w:rPr>
          <w:lang w:val="en-US"/>
        </w:rPr>
        <w:t xml:space="preserve">   </w:t>
      </w:r>
    </w:p>
    <w:p w14:paraId="19D58817" w14:textId="37D4B6B8" w:rsidR="001444B4" w:rsidRPr="00D566C1" w:rsidRDefault="00541434" w:rsidP="00B24672">
      <w:pPr>
        <w:pStyle w:val="Heading1"/>
        <w:rPr>
          <w:sz w:val="28"/>
          <w:szCs w:val="28"/>
          <w:lang w:val="en-US"/>
        </w:rPr>
      </w:pPr>
      <w:r>
        <w:rPr>
          <w:lang w:val="en-US"/>
        </w:rPr>
        <w:t xml:space="preserve">Why do we have rules for </w:t>
      </w:r>
      <w:r w:rsidR="00FF7C92">
        <w:rPr>
          <w:lang w:val="en-US"/>
        </w:rPr>
        <w:t>entertaining employees and guests</w:t>
      </w:r>
      <w:r w:rsidR="001444B4" w:rsidRPr="00F75880">
        <w:rPr>
          <w:lang w:val="en-US"/>
        </w:rPr>
        <w:t>?</w:t>
      </w:r>
    </w:p>
    <w:p w14:paraId="2C66AF81" w14:textId="28C6ECBC" w:rsidR="00114A9A" w:rsidRPr="00114A9A" w:rsidRDefault="006A04AF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>T</w:t>
      </w:r>
      <w:r w:rsidR="00896B60" w:rsidRPr="00CD7870">
        <w:rPr>
          <w:lang w:val="en-US"/>
        </w:rPr>
        <w:t xml:space="preserve">he IT University </w:t>
      </w:r>
      <w:r w:rsidR="00F17D31">
        <w:rPr>
          <w:lang w:val="en-US"/>
        </w:rPr>
        <w:t xml:space="preserve">is a government institution, and must therefore </w:t>
      </w:r>
      <w:r w:rsidR="00614AA6">
        <w:rPr>
          <w:lang w:val="en-US"/>
        </w:rPr>
        <w:t xml:space="preserve">always </w:t>
      </w:r>
      <w:r w:rsidR="00F17D31" w:rsidRPr="00614AA6">
        <w:rPr>
          <w:lang w:val="en-US"/>
        </w:rPr>
        <w:t xml:space="preserve">display a fair and modest approach in </w:t>
      </w:r>
      <w:r w:rsidR="00614AA6" w:rsidRPr="00614AA6">
        <w:rPr>
          <w:lang w:val="en-US"/>
        </w:rPr>
        <w:t xml:space="preserve">all economic dispositions. </w:t>
      </w:r>
    </w:p>
    <w:p w14:paraId="7698E6C6" w14:textId="72749EB1" w:rsidR="00AD38E9" w:rsidRPr="00D566C1" w:rsidRDefault="005B7FF6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rPr>
          <w:lang w:val="en-US"/>
        </w:rPr>
      </w:pPr>
      <w:r>
        <w:rPr>
          <w:lang w:val="en-US"/>
        </w:rPr>
        <w:t>T</w:t>
      </w:r>
      <w:r w:rsidR="00F17D31" w:rsidRPr="00732B67">
        <w:rPr>
          <w:lang w:val="en-US"/>
        </w:rPr>
        <w:t xml:space="preserve">he rules </w:t>
      </w:r>
      <w:r w:rsidR="00A47A04" w:rsidRPr="00732B67">
        <w:rPr>
          <w:lang w:val="en-US"/>
        </w:rPr>
        <w:t>for</w:t>
      </w:r>
      <w:r w:rsidR="00F17D31" w:rsidRPr="00732B67">
        <w:rPr>
          <w:lang w:val="en-US"/>
        </w:rPr>
        <w:t xml:space="preserve"> entertainment expenses </w:t>
      </w:r>
      <w:r w:rsidR="007A341B">
        <w:rPr>
          <w:lang w:val="en-US"/>
        </w:rPr>
        <w:t xml:space="preserve">comply with Danish tax legislation to </w:t>
      </w:r>
      <w:r w:rsidR="006F3489" w:rsidRPr="00732B67">
        <w:rPr>
          <w:lang w:val="en-US"/>
        </w:rPr>
        <w:t>minimize</w:t>
      </w:r>
      <w:r w:rsidR="00F17D31" w:rsidRPr="00732B67">
        <w:rPr>
          <w:lang w:val="en-US"/>
        </w:rPr>
        <w:t xml:space="preserve"> taxation of </w:t>
      </w:r>
      <w:r w:rsidR="001C516F" w:rsidRPr="00732B67">
        <w:rPr>
          <w:lang w:val="en-US"/>
        </w:rPr>
        <w:t xml:space="preserve">employees, </w:t>
      </w:r>
      <w:r w:rsidR="00F17D31" w:rsidRPr="00732B67">
        <w:rPr>
          <w:lang w:val="en-US"/>
        </w:rPr>
        <w:t>guest</w:t>
      </w:r>
      <w:r w:rsidR="001C516F" w:rsidRPr="00732B67">
        <w:rPr>
          <w:lang w:val="en-US"/>
        </w:rPr>
        <w:t>s</w:t>
      </w:r>
      <w:r w:rsidR="00F17D31" w:rsidRPr="00732B67">
        <w:rPr>
          <w:lang w:val="en-US"/>
        </w:rPr>
        <w:t xml:space="preserve"> and external partners when receiving gifts</w:t>
      </w:r>
      <w:r w:rsidR="001C516F" w:rsidRPr="00732B67">
        <w:rPr>
          <w:lang w:val="en-US"/>
        </w:rPr>
        <w:t xml:space="preserve"> or other </w:t>
      </w:r>
      <w:r w:rsidR="00463293" w:rsidRPr="00732B67">
        <w:rPr>
          <w:lang w:val="en-US"/>
        </w:rPr>
        <w:t>treat</w:t>
      </w:r>
      <w:r w:rsidR="001C516F" w:rsidRPr="00732B67">
        <w:rPr>
          <w:lang w:val="en-US"/>
        </w:rPr>
        <w:t>s</w:t>
      </w:r>
      <w:r w:rsidR="00F17D31" w:rsidRPr="00732B67">
        <w:rPr>
          <w:lang w:val="en-US"/>
        </w:rPr>
        <w:t xml:space="preserve"> from the IT University</w:t>
      </w:r>
      <w:r w:rsidR="00732B67">
        <w:rPr>
          <w:lang w:val="en-US"/>
        </w:rPr>
        <w:t>.</w:t>
      </w:r>
    </w:p>
    <w:p w14:paraId="4B93CCE3" w14:textId="7EF8E78E" w:rsidR="00A83CF6" w:rsidRPr="00D566C1" w:rsidRDefault="00A723E0" w:rsidP="00B24672">
      <w:pPr>
        <w:pStyle w:val="Heading1"/>
        <w:rPr>
          <w:lang w:val="en-US"/>
        </w:rPr>
      </w:pPr>
      <w:r>
        <w:rPr>
          <w:lang w:val="en-US"/>
        </w:rPr>
        <w:t xml:space="preserve">Which </w:t>
      </w:r>
      <w:r w:rsidR="00A83CF6" w:rsidRPr="00D566C1">
        <w:rPr>
          <w:lang w:val="en-US"/>
        </w:rPr>
        <w:t>e</w:t>
      </w:r>
      <w:r w:rsidR="00A47A04">
        <w:rPr>
          <w:lang w:val="en-US"/>
        </w:rPr>
        <w:t xml:space="preserve">xpenses </w:t>
      </w:r>
      <w:r w:rsidR="00B31A99">
        <w:rPr>
          <w:lang w:val="en-US"/>
        </w:rPr>
        <w:t xml:space="preserve">are refundable by </w:t>
      </w:r>
      <w:r w:rsidR="00FF7C92">
        <w:rPr>
          <w:lang w:val="en-US"/>
        </w:rPr>
        <w:t>ITU</w:t>
      </w:r>
      <w:r w:rsidR="00BE0565">
        <w:rPr>
          <w:lang w:val="en-US"/>
        </w:rPr>
        <w:t>?</w:t>
      </w:r>
    </w:p>
    <w:p w14:paraId="3C9F56C4" w14:textId="15707EC2" w:rsidR="00942681" w:rsidRPr="00F4181F" w:rsidRDefault="00734331" w:rsidP="00B24672">
      <w:pPr>
        <w:pStyle w:val="Heading2"/>
        <w:rPr>
          <w:lang w:val="en-US"/>
        </w:rPr>
      </w:pPr>
      <w:r w:rsidRPr="00F4181F">
        <w:rPr>
          <w:lang w:val="en-US"/>
        </w:rPr>
        <w:t xml:space="preserve">Receptions and </w:t>
      </w:r>
      <w:r w:rsidR="00B31A99">
        <w:rPr>
          <w:lang w:val="en-US"/>
        </w:rPr>
        <w:t>even</w:t>
      </w:r>
      <w:r w:rsidRPr="00F4181F">
        <w:rPr>
          <w:lang w:val="en-US"/>
        </w:rPr>
        <w:t>ts</w:t>
      </w:r>
    </w:p>
    <w:p w14:paraId="53517994" w14:textId="17BB8C2E" w:rsidR="00A47A04" w:rsidRDefault="00A47A04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>Facilities Management (FM) may cover expenses for</w:t>
      </w:r>
      <w:r w:rsidR="00942681">
        <w:rPr>
          <w:lang w:val="en-US"/>
        </w:rPr>
        <w:t xml:space="preserve"> the following types of receptions and </w:t>
      </w:r>
      <w:r w:rsidR="00B31A99">
        <w:rPr>
          <w:lang w:val="en-US"/>
        </w:rPr>
        <w:t>events</w:t>
      </w:r>
      <w:r w:rsidR="00942681">
        <w:rPr>
          <w:lang w:val="en-US"/>
        </w:rPr>
        <w:t>:</w:t>
      </w:r>
    </w:p>
    <w:p w14:paraId="77B210AF" w14:textId="77777777" w:rsidR="00A47A04" w:rsidRDefault="00A47A04" w:rsidP="00B2467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Graduation ceremonies</w:t>
      </w:r>
    </w:p>
    <w:p w14:paraId="0536F553" w14:textId="77777777" w:rsidR="00A47A04" w:rsidRDefault="00A47A04" w:rsidP="00B2467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Commemoration</w:t>
      </w:r>
    </w:p>
    <w:p w14:paraId="286E2C6C" w14:textId="77777777" w:rsidR="00A47A04" w:rsidRDefault="00A47A04" w:rsidP="00B2467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Conferment of PhD degrees (max. DKK 4,600)</w:t>
      </w:r>
    </w:p>
    <w:p w14:paraId="25AAF8B6" w14:textId="77777777" w:rsidR="00A47A04" w:rsidRPr="00F02B8A" w:rsidRDefault="00A47A04" w:rsidP="00B2467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Conferment of </w:t>
      </w:r>
      <w:r w:rsidRPr="00F02B8A">
        <w:rPr>
          <w:lang w:val="en-US"/>
        </w:rPr>
        <w:t>Doctorate degrees (max. DKK 5,400)</w:t>
      </w:r>
    </w:p>
    <w:p w14:paraId="4080C377" w14:textId="5A590FFD" w:rsidR="00114A9A" w:rsidRDefault="00A47A04" w:rsidP="00B2467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Nomination of or inaugural lecture by professors (max</w:t>
      </w:r>
      <w:r w:rsidR="001C516F">
        <w:rPr>
          <w:lang w:val="en-US"/>
        </w:rPr>
        <w:t>.</w:t>
      </w:r>
      <w:r>
        <w:rPr>
          <w:lang w:val="en-US"/>
        </w:rPr>
        <w:t xml:space="preserve"> DKK 5,400)</w:t>
      </w:r>
    </w:p>
    <w:p w14:paraId="25C73028" w14:textId="77777777" w:rsidR="00114A9A" w:rsidRPr="00114A9A" w:rsidRDefault="00114A9A" w:rsidP="00B24672">
      <w:pPr>
        <w:pStyle w:val="ListParagraph"/>
        <w:rPr>
          <w:lang w:val="en-US"/>
        </w:rPr>
      </w:pPr>
    </w:p>
    <w:p w14:paraId="40A54FD5" w14:textId="10FD80ED" w:rsidR="00A47A04" w:rsidRPr="00942681" w:rsidRDefault="00A47A04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 w:rsidRPr="00D566C1">
        <w:rPr>
          <w:lang w:val="en-US"/>
        </w:rPr>
        <w:t>Department or Section</w:t>
      </w:r>
      <w:r w:rsidRPr="00BE0565">
        <w:rPr>
          <w:lang w:val="en-US"/>
        </w:rPr>
        <w:t xml:space="preserve"> </w:t>
      </w:r>
      <w:r w:rsidR="00B110AE">
        <w:rPr>
          <w:lang w:val="en-US"/>
        </w:rPr>
        <w:t xml:space="preserve">heads </w:t>
      </w:r>
      <w:r w:rsidR="00A723E0">
        <w:rPr>
          <w:lang w:val="en-US"/>
        </w:rPr>
        <w:t xml:space="preserve">may </w:t>
      </w:r>
      <w:r>
        <w:rPr>
          <w:lang w:val="en-US"/>
        </w:rPr>
        <w:t xml:space="preserve">cover expenses related to </w:t>
      </w:r>
      <w:r w:rsidRPr="00942681">
        <w:rPr>
          <w:lang w:val="en-US"/>
        </w:rPr>
        <w:t>department seminars and department theme days as well as the following types of receptions:</w:t>
      </w:r>
    </w:p>
    <w:p w14:paraId="20F47B84" w14:textId="77777777" w:rsidR="00A47A04" w:rsidRDefault="00A47A04" w:rsidP="00B2467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Trainee graduation (max. DKK 1,600)</w:t>
      </w:r>
    </w:p>
    <w:p w14:paraId="5E334853" w14:textId="77777777" w:rsidR="00A47A04" w:rsidRDefault="00A47A04" w:rsidP="00B2467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Resignation after more than 1 year of employment (max. DKK 1,600)</w:t>
      </w:r>
    </w:p>
    <w:p w14:paraId="706A7C07" w14:textId="77777777" w:rsidR="00A47A04" w:rsidRDefault="00A47A04" w:rsidP="00B2467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25, 40 and 50 years anniversary of government employees (max. DKK 1,600)</w:t>
      </w:r>
    </w:p>
    <w:p w14:paraId="1404C190" w14:textId="77777777" w:rsidR="009B0681" w:rsidRDefault="009B0681" w:rsidP="00B24672">
      <w:pPr>
        <w:pStyle w:val="ListParagraph"/>
        <w:ind w:left="920"/>
        <w:rPr>
          <w:lang w:val="en-US"/>
        </w:rPr>
      </w:pPr>
    </w:p>
    <w:p w14:paraId="40251D9E" w14:textId="6847D11F" w:rsidR="00A47A04" w:rsidRDefault="00B110AE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>ITU</w:t>
      </w:r>
      <w:r w:rsidR="001C516F">
        <w:rPr>
          <w:lang w:val="en-US"/>
        </w:rPr>
        <w:t xml:space="preserve"> covers t</w:t>
      </w:r>
      <w:r w:rsidR="00A47A04">
        <w:rPr>
          <w:lang w:val="en-US"/>
        </w:rPr>
        <w:t>he deposit on bottles up until DKK 300.</w:t>
      </w:r>
    </w:p>
    <w:p w14:paraId="64C195B5" w14:textId="02391786" w:rsidR="00D00BB0" w:rsidRDefault="00B110AE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>ITU</w:t>
      </w:r>
      <w:r w:rsidR="00D00BB0" w:rsidRPr="00B678BF">
        <w:rPr>
          <w:b/>
          <w:lang w:val="en-US"/>
        </w:rPr>
        <w:t xml:space="preserve"> do</w:t>
      </w:r>
      <w:r w:rsidR="00FB2572">
        <w:rPr>
          <w:b/>
          <w:lang w:val="en-US"/>
        </w:rPr>
        <w:t>es</w:t>
      </w:r>
      <w:r w:rsidR="00D00BB0" w:rsidRPr="00B678BF">
        <w:rPr>
          <w:b/>
          <w:lang w:val="en-US"/>
        </w:rPr>
        <w:t xml:space="preserve"> not</w:t>
      </w:r>
      <w:r w:rsidR="00D00BB0">
        <w:rPr>
          <w:lang w:val="en-US"/>
        </w:rPr>
        <w:t xml:space="preserve"> cover </w:t>
      </w:r>
      <w:r w:rsidR="00F4181F">
        <w:rPr>
          <w:lang w:val="en-US"/>
        </w:rPr>
        <w:t>e</w:t>
      </w:r>
      <w:r w:rsidR="00D00BB0">
        <w:rPr>
          <w:lang w:val="en-US"/>
        </w:rPr>
        <w:t xml:space="preserve">xpenses related to the celebration of personal </w:t>
      </w:r>
      <w:r>
        <w:rPr>
          <w:lang w:val="en-US"/>
        </w:rPr>
        <w:t xml:space="preserve">events, e.g. </w:t>
      </w:r>
      <w:r w:rsidR="00D00BB0">
        <w:rPr>
          <w:lang w:val="en-US"/>
        </w:rPr>
        <w:t>birthdays</w:t>
      </w:r>
      <w:r>
        <w:rPr>
          <w:lang w:val="en-US"/>
        </w:rPr>
        <w:t xml:space="preserve"> and weddings</w:t>
      </w:r>
      <w:r w:rsidR="009B0681">
        <w:rPr>
          <w:lang w:val="en-US"/>
        </w:rPr>
        <w:t>. Th</w:t>
      </w:r>
      <w:r w:rsidR="00610BD0">
        <w:rPr>
          <w:lang w:val="en-US"/>
        </w:rPr>
        <w:t>e staff member association ‘</w:t>
      </w:r>
      <w:proofErr w:type="spellStart"/>
      <w:r w:rsidR="00610BD0">
        <w:rPr>
          <w:lang w:val="en-US"/>
        </w:rPr>
        <w:t>Rak</w:t>
      </w:r>
      <w:r w:rsidR="009B0681">
        <w:rPr>
          <w:lang w:val="en-US"/>
        </w:rPr>
        <w:t>etten</w:t>
      </w:r>
      <w:proofErr w:type="spellEnd"/>
      <w:r w:rsidR="009B0681">
        <w:rPr>
          <w:lang w:val="en-US"/>
        </w:rPr>
        <w:t>’ or colleagues contribute to suc</w:t>
      </w:r>
      <w:r>
        <w:rPr>
          <w:lang w:val="en-US"/>
        </w:rPr>
        <w:t>h events</w:t>
      </w:r>
      <w:r w:rsidR="009B0681">
        <w:rPr>
          <w:lang w:val="en-US"/>
        </w:rPr>
        <w:t>.</w:t>
      </w:r>
    </w:p>
    <w:p w14:paraId="1E7E3EE4" w14:textId="77777777" w:rsidR="00632EDD" w:rsidRDefault="00632EDD" w:rsidP="00B24672">
      <w:pPr>
        <w:pStyle w:val="Heading2"/>
        <w:rPr>
          <w:lang w:val="en-US"/>
        </w:rPr>
      </w:pPr>
    </w:p>
    <w:p w14:paraId="20A3F0F4" w14:textId="0728C2D4" w:rsidR="00942681" w:rsidRPr="00F4181F" w:rsidRDefault="00942681" w:rsidP="00B24672">
      <w:pPr>
        <w:pStyle w:val="Heading2"/>
        <w:rPr>
          <w:lang w:val="en-US"/>
        </w:rPr>
      </w:pPr>
      <w:r w:rsidRPr="00F4181F">
        <w:rPr>
          <w:lang w:val="en-US"/>
        </w:rPr>
        <w:t>Gifts and Flowers</w:t>
      </w:r>
    </w:p>
    <w:p w14:paraId="70F19895" w14:textId="1C7BF952" w:rsidR="00A47A04" w:rsidRDefault="00A47A04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 w:rsidRPr="00D566C1">
        <w:rPr>
          <w:lang w:val="en-US"/>
        </w:rPr>
        <w:t xml:space="preserve">Department </w:t>
      </w:r>
      <w:r w:rsidR="009B0681">
        <w:rPr>
          <w:lang w:val="en-US"/>
        </w:rPr>
        <w:t>and s</w:t>
      </w:r>
      <w:r w:rsidRPr="00D566C1">
        <w:rPr>
          <w:lang w:val="en-US"/>
        </w:rPr>
        <w:t xml:space="preserve">ection </w:t>
      </w:r>
      <w:r w:rsidR="009B0681">
        <w:rPr>
          <w:lang w:val="en-US"/>
        </w:rPr>
        <w:t xml:space="preserve">heads </w:t>
      </w:r>
      <w:r w:rsidR="00A723E0">
        <w:rPr>
          <w:lang w:val="en-US"/>
        </w:rPr>
        <w:t xml:space="preserve">may </w:t>
      </w:r>
      <w:r>
        <w:rPr>
          <w:lang w:val="en-US"/>
        </w:rPr>
        <w:t xml:space="preserve">cover </w:t>
      </w:r>
      <w:r w:rsidR="00167EAE">
        <w:rPr>
          <w:lang w:val="en-US"/>
        </w:rPr>
        <w:t xml:space="preserve">the </w:t>
      </w:r>
      <w:r>
        <w:rPr>
          <w:lang w:val="en-US"/>
        </w:rPr>
        <w:t>expenses for</w:t>
      </w:r>
      <w:r w:rsidRPr="00942681">
        <w:rPr>
          <w:lang w:val="en-US"/>
        </w:rPr>
        <w:t xml:space="preserve"> flowers or gifts</w:t>
      </w:r>
      <w:r w:rsidR="00663E54">
        <w:rPr>
          <w:lang w:val="en-US"/>
        </w:rPr>
        <w:t xml:space="preserve"> </w:t>
      </w:r>
      <w:r w:rsidR="00663E54" w:rsidRPr="002C7B86">
        <w:rPr>
          <w:rStyle w:val="CommentReference"/>
          <w:sz w:val="22"/>
          <w:szCs w:val="22"/>
          <w:lang w:val="en-US"/>
        </w:rPr>
        <w:t>in these cases:</w:t>
      </w:r>
      <w:r>
        <w:rPr>
          <w:lang w:val="en-US"/>
        </w:rPr>
        <w:t xml:space="preserve">   </w:t>
      </w:r>
    </w:p>
    <w:p w14:paraId="7F778E6D" w14:textId="77777777" w:rsidR="00A47A04" w:rsidRDefault="00A47A04" w:rsidP="00B2467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End of traineeship (max. DKK 800)</w:t>
      </w:r>
      <w:bookmarkStart w:id="0" w:name="_GoBack"/>
      <w:bookmarkEnd w:id="0"/>
    </w:p>
    <w:p w14:paraId="2DA4485E" w14:textId="77777777" w:rsidR="007E220E" w:rsidRDefault="00A47A04" w:rsidP="00B2467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Gifts to external partners when celebrating jubilees, nominations etc. (max. DKK 450)</w:t>
      </w:r>
    </w:p>
    <w:p w14:paraId="196DF180" w14:textId="54B4018E" w:rsidR="00A47A04" w:rsidRPr="007E220E" w:rsidRDefault="00A47A04" w:rsidP="00B24672">
      <w:pPr>
        <w:pStyle w:val="ListParagraph"/>
        <w:numPr>
          <w:ilvl w:val="0"/>
          <w:numId w:val="10"/>
        </w:numPr>
        <w:rPr>
          <w:lang w:val="en-US"/>
        </w:rPr>
      </w:pPr>
      <w:r w:rsidRPr="007E220E">
        <w:rPr>
          <w:lang w:val="en-US"/>
        </w:rPr>
        <w:t xml:space="preserve">Gifts to guests and </w:t>
      </w:r>
      <w:r w:rsidRPr="008D0414">
        <w:rPr>
          <w:lang w:val="en-US"/>
        </w:rPr>
        <w:t xml:space="preserve">students </w:t>
      </w:r>
      <w:r w:rsidR="00F4181F" w:rsidRPr="008D0414">
        <w:rPr>
          <w:lang w:val="en-US"/>
        </w:rPr>
        <w:t xml:space="preserve">participating </w:t>
      </w:r>
      <w:r w:rsidRPr="008D0414">
        <w:rPr>
          <w:lang w:val="en-US"/>
        </w:rPr>
        <w:t xml:space="preserve">in </w:t>
      </w:r>
      <w:r w:rsidR="00F4181F" w:rsidRPr="008D0414">
        <w:rPr>
          <w:lang w:val="en-US"/>
        </w:rPr>
        <w:t xml:space="preserve">un-paid </w:t>
      </w:r>
      <w:r w:rsidRPr="008D0414">
        <w:rPr>
          <w:lang w:val="en-US"/>
        </w:rPr>
        <w:t>arrangements</w:t>
      </w:r>
      <w:r w:rsidRPr="007E220E">
        <w:rPr>
          <w:lang w:val="en-US"/>
        </w:rPr>
        <w:t xml:space="preserve"> on behalf of the IT Universit</w:t>
      </w:r>
      <w:r w:rsidR="00F4181F">
        <w:rPr>
          <w:lang w:val="en-US"/>
        </w:rPr>
        <w:t xml:space="preserve">y, </w:t>
      </w:r>
      <w:r w:rsidRPr="007E220E">
        <w:rPr>
          <w:lang w:val="en-US"/>
        </w:rPr>
        <w:t xml:space="preserve">e.g. as lecturers, panel members, examiners, and participants in research projects (max. DKK 450 DKK) </w:t>
      </w:r>
    </w:p>
    <w:p w14:paraId="29D670B3" w14:textId="77777777" w:rsidR="00A47A04" w:rsidRDefault="00A47A04" w:rsidP="00B2467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Flowers on first/last day of employment (max. DKK 250)</w:t>
      </w:r>
    </w:p>
    <w:p w14:paraId="52777EA2" w14:textId="77777777" w:rsidR="009B0681" w:rsidRDefault="00A47A04" w:rsidP="00B2467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Flowers in case of illness or funeral (max. DKK 250)</w:t>
      </w:r>
    </w:p>
    <w:p w14:paraId="22AE5B85" w14:textId="5B18848C" w:rsidR="00A47A04" w:rsidRPr="009B0681" w:rsidRDefault="00A47A04" w:rsidP="00B24672">
      <w:pPr>
        <w:pStyle w:val="ListParagraph"/>
        <w:rPr>
          <w:lang w:val="en-US"/>
        </w:rPr>
      </w:pPr>
    </w:p>
    <w:p w14:paraId="44B538A1" w14:textId="77777777" w:rsidR="009B0681" w:rsidRDefault="00A723E0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 xml:space="preserve">Gifts must be </w:t>
      </w:r>
      <w:r w:rsidR="00A47A04">
        <w:rPr>
          <w:lang w:val="en-US"/>
        </w:rPr>
        <w:t>appropriate for the occasion and the recipient, e.g. a bottle of wine, chocolate, movie tickets</w:t>
      </w:r>
      <w:r w:rsidR="009B0681">
        <w:rPr>
          <w:lang w:val="en-US"/>
        </w:rPr>
        <w:t xml:space="preserve">. </w:t>
      </w:r>
    </w:p>
    <w:p w14:paraId="06561057" w14:textId="6594687F" w:rsidR="009B0681" w:rsidRPr="00B24672" w:rsidRDefault="009B0681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b/>
          <w:lang w:val="en-US"/>
        </w:rPr>
      </w:pPr>
      <w:r w:rsidRPr="00B24672">
        <w:rPr>
          <w:b/>
          <w:lang w:val="en-US"/>
        </w:rPr>
        <w:t xml:space="preserve">Do not offer </w:t>
      </w:r>
      <w:r w:rsidRPr="00B24672">
        <w:rPr>
          <w:b/>
          <w:u w:val="single"/>
          <w:lang w:val="en-US"/>
        </w:rPr>
        <w:t>gift certificates</w:t>
      </w:r>
      <w:r w:rsidRPr="00B24672">
        <w:rPr>
          <w:b/>
          <w:lang w:val="en-US"/>
        </w:rPr>
        <w:t xml:space="preserve"> to employees or guests. </w:t>
      </w:r>
      <w:r w:rsidR="00B110AE" w:rsidRPr="00B24672">
        <w:rPr>
          <w:b/>
          <w:lang w:val="en-US"/>
        </w:rPr>
        <w:t>The Danish tax authorities consider such items taxable income, and ITU must report such items to the Danish tax authorities.</w:t>
      </w:r>
    </w:p>
    <w:p w14:paraId="15F9C4A7" w14:textId="2EBD8630" w:rsidR="00A47A04" w:rsidRDefault="001C516F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>You order w</w:t>
      </w:r>
      <w:r w:rsidR="00A47A04" w:rsidRPr="00D566C1">
        <w:rPr>
          <w:lang w:val="en-US"/>
        </w:rPr>
        <w:t xml:space="preserve">ine gifts and flowers from </w:t>
      </w:r>
      <w:r w:rsidR="00A47A04">
        <w:rPr>
          <w:lang w:val="en-US"/>
        </w:rPr>
        <w:t xml:space="preserve">the Information Desk.      </w:t>
      </w:r>
    </w:p>
    <w:p w14:paraId="29F9EB26" w14:textId="77777777" w:rsidR="00A47A04" w:rsidRDefault="00A47A04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 xml:space="preserve">In case of an employee’s resignation, or conferment of a Ph.D. degree, the IT University may present the employee with a small ITU-related gift such as a t-shirt or a coffee mug with ITU-logo. </w:t>
      </w:r>
    </w:p>
    <w:p w14:paraId="5779F6EA" w14:textId="5EFAA68D" w:rsidR="00942681" w:rsidRDefault="00FF7C92" w:rsidP="00B24672">
      <w:pPr>
        <w:pStyle w:val="Heading2"/>
        <w:rPr>
          <w:lang w:val="en-US"/>
        </w:rPr>
      </w:pPr>
      <w:r>
        <w:rPr>
          <w:lang w:val="en-US"/>
        </w:rPr>
        <w:t>Meeting r</w:t>
      </w:r>
      <w:r w:rsidR="00A47A04" w:rsidRPr="00D566C1">
        <w:rPr>
          <w:lang w:val="en-US"/>
        </w:rPr>
        <w:t>efreshments at ITU</w:t>
      </w:r>
    </w:p>
    <w:p w14:paraId="5119C90C" w14:textId="7A8DE1C9" w:rsidR="00B110AE" w:rsidRDefault="00B110AE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>ITU</w:t>
      </w:r>
      <w:r w:rsidR="00A47A04">
        <w:rPr>
          <w:lang w:val="en-US"/>
        </w:rPr>
        <w:t xml:space="preserve"> provides all employees with coffee and tea during working hours. For in-house arrangements with employees and guests, e.g. courses, workshops or interviews, </w:t>
      </w:r>
      <w:r w:rsidR="008D0414">
        <w:rPr>
          <w:lang w:val="en-US"/>
        </w:rPr>
        <w:t xml:space="preserve">you may serve </w:t>
      </w:r>
      <w:r w:rsidR="00A47A04">
        <w:rPr>
          <w:lang w:val="en-US"/>
        </w:rPr>
        <w:t>coffee</w:t>
      </w:r>
      <w:r w:rsidR="008D0414">
        <w:rPr>
          <w:lang w:val="en-US"/>
        </w:rPr>
        <w:t>,</w:t>
      </w:r>
      <w:r w:rsidR="00A47A04">
        <w:rPr>
          <w:lang w:val="en-US"/>
        </w:rPr>
        <w:t xml:space="preserve"> tea and bottled water</w:t>
      </w:r>
      <w:r w:rsidR="008D0414">
        <w:rPr>
          <w:lang w:val="en-US"/>
        </w:rPr>
        <w:t xml:space="preserve">. </w:t>
      </w:r>
      <w:r w:rsidR="00A47A04">
        <w:rPr>
          <w:lang w:val="en-US"/>
        </w:rPr>
        <w:t xml:space="preserve">For longer meetings, </w:t>
      </w:r>
      <w:r w:rsidR="008D0414">
        <w:rPr>
          <w:lang w:val="en-US"/>
        </w:rPr>
        <w:t xml:space="preserve">you may serve </w:t>
      </w:r>
      <w:r w:rsidR="00A47A04">
        <w:rPr>
          <w:lang w:val="en-US"/>
        </w:rPr>
        <w:t>lunch, or other refreshments such as sandwiches, fruit or cak</w:t>
      </w:r>
      <w:r w:rsidR="008D0414">
        <w:rPr>
          <w:lang w:val="en-US"/>
        </w:rPr>
        <w:t>e.</w:t>
      </w:r>
      <w:r w:rsidR="009B0681">
        <w:rPr>
          <w:lang w:val="en-US"/>
        </w:rPr>
        <w:t xml:space="preserve"> </w:t>
      </w:r>
    </w:p>
    <w:p w14:paraId="6F3BB34B" w14:textId="6542BB75" w:rsidR="00A47A04" w:rsidRPr="00B24672" w:rsidRDefault="00732B67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 w:rsidRPr="009B0681">
        <w:rPr>
          <w:lang w:val="en-US"/>
        </w:rPr>
        <w:t xml:space="preserve">You order refreshments </w:t>
      </w:r>
      <w:r w:rsidR="00A47A04" w:rsidRPr="009B0681">
        <w:rPr>
          <w:lang w:val="en-US"/>
        </w:rPr>
        <w:t>from the Canteen.</w:t>
      </w:r>
    </w:p>
    <w:p w14:paraId="64FCC0D3" w14:textId="2146E6A2" w:rsidR="00663E54" w:rsidRPr="002C7B86" w:rsidRDefault="00663E54" w:rsidP="00B24672">
      <w:pPr>
        <w:pStyle w:val="Heading2"/>
        <w:rPr>
          <w:lang w:val="en-US"/>
        </w:rPr>
      </w:pPr>
      <w:r w:rsidRPr="002C7B86">
        <w:rPr>
          <w:lang w:val="en-US"/>
        </w:rPr>
        <w:t>Provision of meals for employees and guests</w:t>
      </w:r>
      <w:r w:rsidR="003669A5" w:rsidRPr="002C7B86">
        <w:rPr>
          <w:lang w:val="en-US"/>
        </w:rPr>
        <w:t xml:space="preserve"> </w:t>
      </w:r>
    </w:p>
    <w:p w14:paraId="605A2A86" w14:textId="50E169C6" w:rsidR="00A47A04" w:rsidRPr="00663E54" w:rsidRDefault="00B110AE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>Department and S</w:t>
      </w:r>
      <w:r w:rsidR="009B0681">
        <w:rPr>
          <w:lang w:val="en-US"/>
        </w:rPr>
        <w:t>ection heads</w:t>
      </w:r>
      <w:r w:rsidR="00A723E0">
        <w:rPr>
          <w:lang w:val="en-US"/>
        </w:rPr>
        <w:t xml:space="preserve"> may </w:t>
      </w:r>
      <w:r w:rsidR="00A47A04">
        <w:rPr>
          <w:lang w:val="en-US"/>
        </w:rPr>
        <w:t xml:space="preserve">cover expenses for the provision of </w:t>
      </w:r>
      <w:r w:rsidR="00A47A04" w:rsidRPr="00663E54">
        <w:rPr>
          <w:lang w:val="en-US"/>
        </w:rPr>
        <w:t>meals for employees and guests in these situations:</w:t>
      </w:r>
      <w:r w:rsidR="00A47A04" w:rsidRPr="00663E54">
        <w:rPr>
          <w:lang w:val="en-US"/>
        </w:rPr>
        <w:tab/>
      </w:r>
    </w:p>
    <w:p w14:paraId="7E1E2E44" w14:textId="72A3C1FE" w:rsidR="00A47A04" w:rsidRDefault="00A47A04" w:rsidP="00B2467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Lunch or dinner for external  examiners and peer reviewers when holding exams</w:t>
      </w:r>
    </w:p>
    <w:p w14:paraId="66E1F3DE" w14:textId="0F563127" w:rsidR="00A47A04" w:rsidRPr="00411696" w:rsidRDefault="00114A9A" w:rsidP="00B2467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At</w:t>
      </w:r>
      <w:r w:rsidR="00A47A04" w:rsidRPr="00411696">
        <w:rPr>
          <w:lang w:val="en-US"/>
        </w:rPr>
        <w:t xml:space="preserve"> Intro Week and Open House arrangements, students may be moderately provided for (sandwich and soft drink)</w:t>
      </w:r>
    </w:p>
    <w:p w14:paraId="3959B01E" w14:textId="78A84CA7" w:rsidR="00A47A04" w:rsidRDefault="00A47A04" w:rsidP="00B2467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In case of required over-time work, </w:t>
      </w:r>
      <w:r w:rsidR="00114A9A">
        <w:rPr>
          <w:lang w:val="en-US"/>
        </w:rPr>
        <w:t xml:space="preserve">the department/section head may refund </w:t>
      </w:r>
      <w:r>
        <w:rPr>
          <w:lang w:val="en-US"/>
        </w:rPr>
        <w:t>moderate refreshments (sandwich and soft drink)</w:t>
      </w:r>
      <w:r w:rsidRPr="00BE2F31">
        <w:rPr>
          <w:lang w:val="en-US"/>
        </w:rPr>
        <w:t xml:space="preserve"> </w:t>
      </w:r>
    </w:p>
    <w:p w14:paraId="40C63136" w14:textId="1BBDB863" w:rsidR="00A47A04" w:rsidRDefault="00A47A04" w:rsidP="00B2467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At department seminars, theme-days and similar activities ou</w:t>
      </w:r>
      <w:r w:rsidR="00A723E0">
        <w:rPr>
          <w:lang w:val="en-US"/>
        </w:rPr>
        <w:t>t of office, it is possible to allocate</w:t>
      </w:r>
      <w:r>
        <w:rPr>
          <w:lang w:val="en-US"/>
        </w:rPr>
        <w:t xml:space="preserve"> a moderate sum for lunch and dinner.</w:t>
      </w:r>
    </w:p>
    <w:p w14:paraId="640FA165" w14:textId="01852506" w:rsidR="00114A9A" w:rsidRDefault="00A80BF2" w:rsidP="00B24672">
      <w:pPr>
        <w:pStyle w:val="ListParagraph"/>
        <w:numPr>
          <w:ilvl w:val="0"/>
          <w:numId w:val="9"/>
        </w:numPr>
        <w:rPr>
          <w:lang w:val="en-US"/>
        </w:rPr>
      </w:pPr>
      <w:r w:rsidRPr="002C7B86">
        <w:rPr>
          <w:lang w:val="en-US"/>
        </w:rPr>
        <w:t>F</w:t>
      </w:r>
      <w:r w:rsidR="00067D97" w:rsidRPr="002C7B86">
        <w:rPr>
          <w:lang w:val="en-US"/>
        </w:rPr>
        <w:t xml:space="preserve">oreign </w:t>
      </w:r>
      <w:r w:rsidR="0074531B" w:rsidRPr="00BD169B">
        <w:rPr>
          <w:lang w:val="en-US"/>
        </w:rPr>
        <w:t xml:space="preserve">researchers on </w:t>
      </w:r>
      <w:r w:rsidR="00067D97" w:rsidRPr="002C7B86">
        <w:rPr>
          <w:lang w:val="en-US"/>
        </w:rPr>
        <w:t xml:space="preserve">long-term, </w:t>
      </w:r>
      <w:r w:rsidR="0074531B" w:rsidRPr="00BD169B">
        <w:rPr>
          <w:lang w:val="en-US"/>
        </w:rPr>
        <w:t xml:space="preserve">unpaid visits </w:t>
      </w:r>
      <w:proofErr w:type="gramStart"/>
      <w:r w:rsidRPr="002C7B86">
        <w:rPr>
          <w:lang w:val="en-US"/>
        </w:rPr>
        <w:t>may be invited</w:t>
      </w:r>
      <w:proofErr w:type="gramEnd"/>
      <w:r w:rsidRPr="002C7B86">
        <w:rPr>
          <w:lang w:val="en-US"/>
        </w:rPr>
        <w:t xml:space="preserve"> out for lunch or dinner once a week </w:t>
      </w:r>
      <w:r w:rsidR="0074531B" w:rsidRPr="00BD169B">
        <w:rPr>
          <w:lang w:val="en-US"/>
        </w:rPr>
        <w:t xml:space="preserve">if the person responsible for the budget has approved this. Expenses for more frequent </w:t>
      </w:r>
      <w:r w:rsidRPr="002C7B86">
        <w:rPr>
          <w:lang w:val="en-US"/>
        </w:rPr>
        <w:t xml:space="preserve">restaurant visits </w:t>
      </w:r>
      <w:proofErr w:type="gramStart"/>
      <w:r w:rsidR="002C7B86">
        <w:rPr>
          <w:lang w:val="en-US"/>
        </w:rPr>
        <w:t>must be</w:t>
      </w:r>
      <w:r w:rsidRPr="002C7B86">
        <w:rPr>
          <w:lang w:val="en-US"/>
        </w:rPr>
        <w:t xml:space="preserve"> </w:t>
      </w:r>
      <w:r w:rsidR="0074531B" w:rsidRPr="00BD169B">
        <w:rPr>
          <w:lang w:val="en-US"/>
        </w:rPr>
        <w:t>explicitly</w:t>
      </w:r>
      <w:r w:rsidR="00BD169B" w:rsidRPr="002C7B86">
        <w:rPr>
          <w:lang w:val="en-US"/>
        </w:rPr>
        <w:t xml:space="preserve"> stated</w:t>
      </w:r>
      <w:proofErr w:type="gramEnd"/>
      <w:r w:rsidR="0074531B" w:rsidRPr="00BD169B">
        <w:rPr>
          <w:lang w:val="en-US"/>
        </w:rPr>
        <w:t xml:space="preserve"> in the budget pre-approved by management or an external funde</w:t>
      </w:r>
      <w:r w:rsidRPr="002C7B86">
        <w:rPr>
          <w:lang w:val="en-US"/>
        </w:rPr>
        <w:t>r</w:t>
      </w:r>
      <w:r w:rsidR="0074531B" w:rsidRPr="00BD169B">
        <w:rPr>
          <w:lang w:val="en-US"/>
        </w:rPr>
        <w:t>.</w:t>
      </w:r>
    </w:p>
    <w:p w14:paraId="6BEA0974" w14:textId="77777777" w:rsidR="00114A9A" w:rsidRPr="00114A9A" w:rsidRDefault="00114A9A" w:rsidP="00B24672">
      <w:pPr>
        <w:pStyle w:val="ListParagraph"/>
        <w:ind w:left="770"/>
        <w:rPr>
          <w:lang w:val="en-US"/>
        </w:rPr>
      </w:pPr>
    </w:p>
    <w:p w14:paraId="5DA1CA06" w14:textId="6B91984E" w:rsidR="004075FE" w:rsidRDefault="00A47A04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 xml:space="preserve">For out-of- office arrangements, regardless of occasion or participants, </w:t>
      </w:r>
      <w:r w:rsidR="003718C8">
        <w:rPr>
          <w:lang w:val="en-US"/>
        </w:rPr>
        <w:t xml:space="preserve">the It University may cover </w:t>
      </w:r>
      <w:proofErr w:type="gramStart"/>
      <w:r>
        <w:rPr>
          <w:lang w:val="en-US"/>
        </w:rPr>
        <w:t>restaurant/cafe</w:t>
      </w:r>
      <w:proofErr w:type="gramEnd"/>
      <w:r>
        <w:rPr>
          <w:lang w:val="en-US"/>
        </w:rPr>
        <w:t xml:space="preserve"> expenses</w:t>
      </w:r>
      <w:r w:rsidR="003718C8">
        <w:rPr>
          <w:lang w:val="en-US"/>
        </w:rPr>
        <w:t xml:space="preserve"> </w:t>
      </w:r>
      <w:r>
        <w:rPr>
          <w:lang w:val="en-US"/>
        </w:rPr>
        <w:t>up until DKK 650 per person including beverages</w:t>
      </w:r>
      <w:r w:rsidR="00B110AE">
        <w:rPr>
          <w:lang w:val="en-US"/>
        </w:rPr>
        <w:t xml:space="preserve"> and V.A.T</w:t>
      </w:r>
      <w:r>
        <w:rPr>
          <w:lang w:val="en-US"/>
        </w:rPr>
        <w:t xml:space="preserve">. </w:t>
      </w:r>
      <w:r w:rsidRPr="00D566C1">
        <w:rPr>
          <w:lang w:val="en-US"/>
        </w:rPr>
        <w:t>The IT University do</w:t>
      </w:r>
      <w:r w:rsidR="00732B67">
        <w:rPr>
          <w:lang w:val="en-US"/>
        </w:rPr>
        <w:t>es</w:t>
      </w:r>
      <w:r w:rsidRPr="00D566C1">
        <w:rPr>
          <w:lang w:val="en-US"/>
        </w:rPr>
        <w:t xml:space="preserve"> not cover expenses for tips in Denmark.</w:t>
      </w:r>
    </w:p>
    <w:p w14:paraId="18A73474" w14:textId="730A7E32" w:rsidR="00A47A04" w:rsidRDefault="00A47A04" w:rsidP="00B24672">
      <w:pPr>
        <w:pStyle w:val="Heading1"/>
        <w:rPr>
          <w:lang w:val="en-US"/>
        </w:rPr>
      </w:pPr>
      <w:r w:rsidRPr="00F45062">
        <w:rPr>
          <w:lang w:val="en-US"/>
        </w:rPr>
        <w:lastRenderedPageBreak/>
        <w:t xml:space="preserve">Who approves </w:t>
      </w:r>
      <w:r w:rsidR="00FF7C92">
        <w:rPr>
          <w:lang w:val="en-US"/>
        </w:rPr>
        <w:t>my expenses</w:t>
      </w:r>
      <w:r w:rsidRPr="00F45062">
        <w:rPr>
          <w:lang w:val="en-US"/>
        </w:rPr>
        <w:t>?</w:t>
      </w:r>
    </w:p>
    <w:p w14:paraId="3BF33CD2" w14:textId="2071EA0E" w:rsidR="00BE0565" w:rsidRDefault="00BE0565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 w:rsidRPr="00114A9A">
        <w:rPr>
          <w:lang w:val="en-US"/>
        </w:rPr>
        <w:t>Entertainment</w:t>
      </w:r>
      <w:r w:rsidRPr="00BE0565">
        <w:rPr>
          <w:lang w:val="en-US"/>
        </w:rPr>
        <w:t xml:space="preserve"> expenses are subject to the usual approval procedure</w:t>
      </w:r>
      <w:r w:rsidR="008D0414">
        <w:rPr>
          <w:lang w:val="en-US"/>
        </w:rPr>
        <w:t xml:space="preserve">s </w:t>
      </w:r>
      <w:r w:rsidRPr="00BE0565">
        <w:rPr>
          <w:lang w:val="en-US"/>
        </w:rPr>
        <w:t>appl</w:t>
      </w:r>
      <w:r w:rsidR="003669A5">
        <w:rPr>
          <w:lang w:val="en-US"/>
        </w:rPr>
        <w:t>y</w:t>
      </w:r>
      <w:r w:rsidR="008D0414">
        <w:rPr>
          <w:lang w:val="en-US"/>
        </w:rPr>
        <w:t xml:space="preserve">ing </w:t>
      </w:r>
      <w:r w:rsidRPr="00BE0565">
        <w:rPr>
          <w:lang w:val="en-US"/>
        </w:rPr>
        <w:t>to electronic invoices and outlay claims</w:t>
      </w:r>
      <w:r w:rsidR="00B110AE">
        <w:rPr>
          <w:lang w:val="en-US"/>
        </w:rPr>
        <w:t>.</w:t>
      </w:r>
    </w:p>
    <w:p w14:paraId="22D02458" w14:textId="4DEE5A1A" w:rsidR="004075FE" w:rsidRPr="00D566C1" w:rsidRDefault="00B110AE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b/>
          <w:lang w:val="en-US"/>
        </w:rPr>
      </w:pPr>
      <w:r>
        <w:rPr>
          <w:lang w:val="en-US"/>
        </w:rPr>
        <w:t xml:space="preserve">The </w:t>
      </w:r>
      <w:r w:rsidR="00BE0565" w:rsidRPr="00114A9A">
        <w:rPr>
          <w:lang w:val="en-US"/>
        </w:rPr>
        <w:t>Head</w:t>
      </w:r>
      <w:r w:rsidR="00BE0565" w:rsidRPr="003F7EA4">
        <w:rPr>
          <w:lang w:val="en-US"/>
        </w:rPr>
        <w:t xml:space="preserve"> of </w:t>
      </w:r>
      <w:r w:rsidR="00BE0565">
        <w:rPr>
          <w:lang w:val="en-US"/>
        </w:rPr>
        <w:t>Finance</w:t>
      </w:r>
      <w:r w:rsidR="00BE0565" w:rsidRPr="003F7EA4">
        <w:rPr>
          <w:lang w:val="en-US"/>
        </w:rPr>
        <w:t xml:space="preserve"> may pre-approve deviations from the r</w:t>
      </w:r>
      <w:r w:rsidR="00BE0565">
        <w:rPr>
          <w:lang w:val="en-US"/>
        </w:rPr>
        <w:t xml:space="preserve">ules </w:t>
      </w:r>
      <w:r w:rsidR="00167EAE">
        <w:rPr>
          <w:lang w:val="en-US"/>
        </w:rPr>
        <w:t>if exceptional</w:t>
      </w:r>
      <w:r w:rsidR="00BE0565" w:rsidRPr="003F7EA4">
        <w:rPr>
          <w:lang w:val="en-US"/>
        </w:rPr>
        <w:t xml:space="preserve"> or extraordinary ci</w:t>
      </w:r>
      <w:r w:rsidR="00167EAE">
        <w:rPr>
          <w:lang w:val="en-US"/>
        </w:rPr>
        <w:t xml:space="preserve">rcumstances call for this. </w:t>
      </w:r>
      <w:r w:rsidR="00732B67">
        <w:rPr>
          <w:lang w:val="en-US"/>
        </w:rPr>
        <w:t>You must enclose w</w:t>
      </w:r>
      <w:r w:rsidR="00BE0565" w:rsidRPr="003F7EA4">
        <w:rPr>
          <w:lang w:val="en-US"/>
        </w:rPr>
        <w:t xml:space="preserve">ritten approval </w:t>
      </w:r>
      <w:r w:rsidR="00167EAE">
        <w:rPr>
          <w:lang w:val="en-US"/>
        </w:rPr>
        <w:t>from Head of Finance</w:t>
      </w:r>
      <w:r w:rsidR="00732B67">
        <w:rPr>
          <w:lang w:val="en-US"/>
        </w:rPr>
        <w:t xml:space="preserve"> </w:t>
      </w:r>
      <w:r w:rsidR="00BE0565" w:rsidRPr="003F7EA4">
        <w:rPr>
          <w:lang w:val="en-US"/>
        </w:rPr>
        <w:t xml:space="preserve">with the </w:t>
      </w:r>
      <w:r w:rsidR="00BE0565">
        <w:rPr>
          <w:lang w:val="en-US"/>
        </w:rPr>
        <w:t xml:space="preserve">credit vouchers. </w:t>
      </w:r>
      <w:r w:rsidR="00BE0565">
        <w:rPr>
          <w:b/>
          <w:lang w:val="en-US"/>
        </w:rPr>
        <w:t xml:space="preserve">  </w:t>
      </w:r>
    </w:p>
    <w:p w14:paraId="078E1E7F" w14:textId="3A37D98A" w:rsidR="00BE0565" w:rsidRDefault="00BE0565" w:rsidP="00B24672">
      <w:pPr>
        <w:pStyle w:val="Heading1"/>
        <w:rPr>
          <w:lang w:val="en-US"/>
        </w:rPr>
      </w:pPr>
      <w:r>
        <w:rPr>
          <w:lang w:val="en-US"/>
        </w:rPr>
        <w:t xml:space="preserve">How do I document </w:t>
      </w:r>
      <w:r w:rsidR="00FF7C92">
        <w:rPr>
          <w:lang w:val="en-US"/>
        </w:rPr>
        <w:t>my expenses?</w:t>
      </w:r>
    </w:p>
    <w:p w14:paraId="6777D047" w14:textId="4023CB82" w:rsidR="00114A9A" w:rsidRPr="00114A9A" w:rsidRDefault="00BE0565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 xml:space="preserve">The Danish tax authorities have more stringent documentation requirements for entertainment expenses. Documents concerning entertainment expenses must contain information on the purpose of the arrangement/event and who attended it. </w:t>
      </w:r>
      <w:r w:rsidR="008D0414">
        <w:rPr>
          <w:lang w:val="en-US"/>
        </w:rPr>
        <w:t xml:space="preserve">You may </w:t>
      </w:r>
      <w:r>
        <w:rPr>
          <w:lang w:val="en-US"/>
        </w:rPr>
        <w:t>writ</w:t>
      </w:r>
      <w:r w:rsidR="008D0414">
        <w:rPr>
          <w:lang w:val="en-US"/>
        </w:rPr>
        <w:t>e</w:t>
      </w:r>
      <w:r>
        <w:rPr>
          <w:lang w:val="en-US"/>
        </w:rPr>
        <w:t xml:space="preserve"> </w:t>
      </w:r>
      <w:r w:rsidR="008D0414">
        <w:rPr>
          <w:lang w:val="en-US"/>
        </w:rPr>
        <w:t xml:space="preserve">the information </w:t>
      </w:r>
      <w:r>
        <w:rPr>
          <w:lang w:val="en-US"/>
        </w:rPr>
        <w:t>on the documents themselves</w:t>
      </w:r>
      <w:r w:rsidR="00FB2572">
        <w:rPr>
          <w:lang w:val="en-US"/>
        </w:rPr>
        <w:t>,</w:t>
      </w:r>
      <w:r>
        <w:rPr>
          <w:lang w:val="en-US"/>
        </w:rPr>
        <w:t xml:space="preserve"> or enclose separate documents such as meeting summons, list of participants and the like.  </w:t>
      </w:r>
      <w:r w:rsidRPr="00FF7C92">
        <w:rPr>
          <w:lang w:val="en-US"/>
        </w:rPr>
        <w:t xml:space="preserve"> </w:t>
      </w:r>
    </w:p>
    <w:p w14:paraId="20E0AF1F" w14:textId="5BD2A485" w:rsidR="004075FE" w:rsidRPr="00B24672" w:rsidRDefault="00AD38E9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 w:rsidRPr="00B110AE">
        <w:rPr>
          <w:lang w:val="en-US"/>
        </w:rPr>
        <w:t xml:space="preserve">If you </w:t>
      </w:r>
      <w:r w:rsidR="008D0414" w:rsidRPr="00B110AE">
        <w:rPr>
          <w:lang w:val="en-US"/>
        </w:rPr>
        <w:t xml:space="preserve">do not </w:t>
      </w:r>
      <w:r w:rsidRPr="00B110AE">
        <w:rPr>
          <w:lang w:val="en-US"/>
        </w:rPr>
        <w:t>provide the required documentation</w:t>
      </w:r>
      <w:r w:rsidR="00FF7C92">
        <w:rPr>
          <w:lang w:val="en-US"/>
        </w:rPr>
        <w:t xml:space="preserve"> or your expenses exceeds the limitations in this document</w:t>
      </w:r>
      <w:r w:rsidRPr="00B110AE">
        <w:rPr>
          <w:lang w:val="en-US"/>
        </w:rPr>
        <w:t xml:space="preserve">, you may </w:t>
      </w:r>
      <w:r w:rsidR="00BE0565" w:rsidRPr="00B110AE">
        <w:rPr>
          <w:lang w:val="en-US"/>
        </w:rPr>
        <w:t xml:space="preserve">be required to pay the </w:t>
      </w:r>
      <w:r w:rsidR="00167EAE" w:rsidRPr="00B110AE">
        <w:rPr>
          <w:lang w:val="en-US"/>
        </w:rPr>
        <w:t xml:space="preserve">additional expenditure, i.e. </w:t>
      </w:r>
      <w:r w:rsidR="00B110AE">
        <w:rPr>
          <w:lang w:val="en-US"/>
        </w:rPr>
        <w:t>ITU</w:t>
      </w:r>
      <w:r w:rsidR="00BE0565" w:rsidRPr="00B110AE">
        <w:rPr>
          <w:lang w:val="en-US"/>
        </w:rPr>
        <w:t xml:space="preserve"> will forwa</w:t>
      </w:r>
      <w:r w:rsidRPr="00B110AE">
        <w:rPr>
          <w:lang w:val="en-US"/>
        </w:rPr>
        <w:t xml:space="preserve">rd an invoice to you. </w:t>
      </w:r>
      <w:r w:rsidR="00BE0565" w:rsidRPr="00B110AE">
        <w:rPr>
          <w:lang w:val="en-US"/>
        </w:rPr>
        <w:t xml:space="preserve"> </w:t>
      </w:r>
      <w:r w:rsidR="00BE0565" w:rsidRPr="00B110AE">
        <w:rPr>
          <w:b/>
          <w:i/>
          <w:lang w:val="en-US"/>
        </w:rPr>
        <w:t xml:space="preserve">  </w:t>
      </w:r>
    </w:p>
    <w:p w14:paraId="0969B5EE" w14:textId="3AFE60A7" w:rsidR="004075FE" w:rsidRPr="00D566C1" w:rsidRDefault="004075FE" w:rsidP="00B24672">
      <w:pPr>
        <w:pStyle w:val="Heading1"/>
        <w:rPr>
          <w:lang w:val="en-US"/>
        </w:rPr>
      </w:pPr>
      <w:r w:rsidRPr="00D566C1">
        <w:rPr>
          <w:lang w:val="en-US"/>
        </w:rPr>
        <w:t xml:space="preserve">Where can I find </w:t>
      </w:r>
      <w:r w:rsidR="00114A9A">
        <w:rPr>
          <w:lang w:val="en-US"/>
        </w:rPr>
        <w:t>more i</w:t>
      </w:r>
      <w:r w:rsidRPr="00D566C1">
        <w:rPr>
          <w:lang w:val="en-US"/>
        </w:rPr>
        <w:t>nformation</w:t>
      </w:r>
      <w:r w:rsidR="00F8533B">
        <w:rPr>
          <w:lang w:val="en-US"/>
        </w:rPr>
        <w:t>?</w:t>
      </w:r>
    </w:p>
    <w:p w14:paraId="34B6F9B2" w14:textId="5C27DEEC" w:rsidR="00AD38E9" w:rsidRPr="00D566C1" w:rsidRDefault="00AD38E9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b/>
          <w:lang w:val="en-US"/>
        </w:rPr>
      </w:pPr>
      <w:r>
        <w:rPr>
          <w:lang w:val="en-US"/>
        </w:rPr>
        <w:t xml:space="preserve">You will always find the current version of </w:t>
      </w:r>
      <w:r w:rsidR="007E220E">
        <w:rPr>
          <w:lang w:val="en-US"/>
        </w:rPr>
        <w:t xml:space="preserve">the rules </w:t>
      </w:r>
      <w:r w:rsidR="004075FE" w:rsidRPr="00D566C1">
        <w:rPr>
          <w:lang w:val="en-US"/>
        </w:rPr>
        <w:t xml:space="preserve">at </w:t>
      </w:r>
      <w:r w:rsidR="004075FE" w:rsidRPr="00D566C1">
        <w:rPr>
          <w:b/>
          <w:lang w:val="en-US"/>
        </w:rPr>
        <w:t>en.itu.dk</w:t>
      </w:r>
      <w:r w:rsidR="004075FE" w:rsidRPr="00D566C1">
        <w:rPr>
          <w:lang w:val="en-US"/>
        </w:rPr>
        <w:t xml:space="preserve"> under </w:t>
      </w:r>
      <w:r w:rsidR="004075FE" w:rsidRPr="00D566C1">
        <w:rPr>
          <w:i/>
          <w:lang w:val="en-US"/>
        </w:rPr>
        <w:t>Invoicing and Financial Instructions</w:t>
      </w:r>
      <w:r w:rsidR="004075FE">
        <w:rPr>
          <w:lang w:val="en-US"/>
        </w:rPr>
        <w:t xml:space="preserve">  </w:t>
      </w:r>
    </w:p>
    <w:p w14:paraId="6B5B409E" w14:textId="00600C85" w:rsidR="00114A9A" w:rsidRDefault="00AD38E9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 xml:space="preserve">If you have questions regarding entertainment expenses, you are welcome to contact </w:t>
      </w:r>
      <w:r w:rsidR="00114A9A">
        <w:rPr>
          <w:lang w:val="en-US"/>
        </w:rPr>
        <w:t>Accounting in 2D11</w:t>
      </w:r>
      <w:r>
        <w:rPr>
          <w:lang w:val="en-US"/>
        </w:rPr>
        <w:t>.</w:t>
      </w:r>
    </w:p>
    <w:p w14:paraId="250819A7" w14:textId="0382AC81" w:rsidR="004075FE" w:rsidRPr="00114A9A" w:rsidRDefault="00114A9A" w:rsidP="00B24672">
      <w:pPr>
        <w:pStyle w:val="ListParagraph"/>
        <w:numPr>
          <w:ilvl w:val="0"/>
          <w:numId w:val="8"/>
        </w:numPr>
        <w:tabs>
          <w:tab w:val="left" w:pos="4678"/>
        </w:tabs>
        <w:ind w:left="0" w:firstLine="0"/>
        <w:contextualSpacing w:val="0"/>
        <w:rPr>
          <w:lang w:val="en-US"/>
        </w:rPr>
      </w:pPr>
      <w:r>
        <w:rPr>
          <w:lang w:val="en-US"/>
        </w:rPr>
        <w:t xml:space="preserve">The </w:t>
      </w:r>
      <w:r w:rsidR="000B1ACF">
        <w:rPr>
          <w:lang w:val="en-US"/>
        </w:rPr>
        <w:t>H</w:t>
      </w:r>
      <w:r>
        <w:rPr>
          <w:lang w:val="en-US"/>
        </w:rPr>
        <w:t>ead of Finance approves the rules for entertainment expenses.</w:t>
      </w:r>
    </w:p>
    <w:p w14:paraId="4D22BAC0" w14:textId="77777777" w:rsidR="00BE0565" w:rsidRPr="00D566C1" w:rsidRDefault="00BE0565" w:rsidP="00BE0565">
      <w:pPr>
        <w:rPr>
          <w:b/>
          <w:color w:val="0070C0"/>
          <w:sz w:val="24"/>
          <w:szCs w:val="24"/>
          <w:lang w:val="en-US"/>
        </w:rPr>
      </w:pPr>
    </w:p>
    <w:p w14:paraId="64A21AEA" w14:textId="77777777" w:rsidR="00BE0565" w:rsidRPr="00BE0565" w:rsidRDefault="00BE0565" w:rsidP="00BE0565">
      <w:pPr>
        <w:rPr>
          <w:lang w:val="en-US"/>
        </w:rPr>
      </w:pPr>
    </w:p>
    <w:p w14:paraId="3623DCE8" w14:textId="18DE75F8" w:rsidR="00BE0565" w:rsidRPr="00F45062" w:rsidRDefault="00BE0565" w:rsidP="00A47A04">
      <w:pPr>
        <w:rPr>
          <w:b/>
          <w:color w:val="2E74B5" w:themeColor="accent1" w:themeShade="BF"/>
          <w:sz w:val="24"/>
          <w:szCs w:val="24"/>
          <w:lang w:val="en-US"/>
        </w:rPr>
      </w:pPr>
    </w:p>
    <w:p w14:paraId="039110BC" w14:textId="77777777" w:rsidR="00A47A04" w:rsidRDefault="00A47A04" w:rsidP="00A47A04">
      <w:pPr>
        <w:rPr>
          <w:lang w:val="en-US"/>
        </w:rPr>
      </w:pPr>
    </w:p>
    <w:p w14:paraId="5305157A" w14:textId="77777777" w:rsidR="00A47A04" w:rsidRDefault="00A47A04" w:rsidP="00A47A04">
      <w:pPr>
        <w:rPr>
          <w:lang w:val="en-US"/>
        </w:rPr>
      </w:pPr>
    </w:p>
    <w:p w14:paraId="759EF225" w14:textId="77777777" w:rsidR="00A47A04" w:rsidRDefault="00A47A04" w:rsidP="00A47A04">
      <w:pPr>
        <w:rPr>
          <w:lang w:val="en-US"/>
        </w:rPr>
      </w:pPr>
    </w:p>
    <w:p w14:paraId="7BE2322A" w14:textId="77777777" w:rsidR="00A47A04" w:rsidRDefault="00A47A04" w:rsidP="00A47A04">
      <w:pPr>
        <w:rPr>
          <w:lang w:val="en-US"/>
        </w:rPr>
      </w:pPr>
    </w:p>
    <w:p w14:paraId="5A1D9C78" w14:textId="77777777" w:rsidR="00A47A04" w:rsidRPr="00D566C1" w:rsidRDefault="00A47A04" w:rsidP="00F75880">
      <w:pPr>
        <w:rPr>
          <w:color w:val="2E74B5" w:themeColor="accent1" w:themeShade="BF"/>
          <w:lang w:val="en-US"/>
        </w:rPr>
      </w:pPr>
    </w:p>
    <w:p w14:paraId="1ABDA61A" w14:textId="77777777" w:rsidR="00770BFA" w:rsidRPr="00F75880" w:rsidRDefault="00770BFA" w:rsidP="00D566C1">
      <w:pPr>
        <w:rPr>
          <w:lang w:val="en-US"/>
        </w:rPr>
      </w:pPr>
    </w:p>
    <w:p w14:paraId="48C8470A" w14:textId="77777777" w:rsidR="00770BFA" w:rsidRPr="00D566C1" w:rsidRDefault="00770BFA" w:rsidP="00F75880">
      <w:pPr>
        <w:rPr>
          <w:lang w:val="en-US"/>
        </w:rPr>
      </w:pPr>
    </w:p>
    <w:p w14:paraId="66B71AB0" w14:textId="0E45ED89" w:rsidR="00541434" w:rsidRPr="00D566C1" w:rsidRDefault="00541434" w:rsidP="009E467A">
      <w:pPr>
        <w:rPr>
          <w:lang w:val="en-US"/>
        </w:rPr>
      </w:pPr>
    </w:p>
    <w:p w14:paraId="0200FFD1" w14:textId="7C2ECF9A" w:rsidR="00B57867" w:rsidRDefault="00B57867" w:rsidP="009E467A">
      <w:pPr>
        <w:rPr>
          <w:lang w:val="en-US"/>
        </w:rPr>
      </w:pPr>
    </w:p>
    <w:p w14:paraId="43F5A8B4" w14:textId="77777777" w:rsidR="00B57867" w:rsidRPr="00353EDB" w:rsidRDefault="00B57867" w:rsidP="009E467A">
      <w:pPr>
        <w:rPr>
          <w:lang w:val="en-US"/>
        </w:rPr>
      </w:pPr>
    </w:p>
    <w:p w14:paraId="2B830F5C" w14:textId="77777777" w:rsidR="00990A57" w:rsidRPr="00CD7521" w:rsidRDefault="00990A57" w:rsidP="00CD7521">
      <w:pPr>
        <w:rPr>
          <w:lang w:val="en-US"/>
        </w:rPr>
      </w:pPr>
    </w:p>
    <w:sectPr w:rsidR="00990A57" w:rsidRPr="00CD7521" w:rsidSect="00C021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5B1"/>
    <w:multiLevelType w:val="hybridMultilevel"/>
    <w:tmpl w:val="DB42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57A"/>
    <w:multiLevelType w:val="hybridMultilevel"/>
    <w:tmpl w:val="58A6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1943"/>
    <w:multiLevelType w:val="hybridMultilevel"/>
    <w:tmpl w:val="CEDEDB0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35B6584"/>
    <w:multiLevelType w:val="hybridMultilevel"/>
    <w:tmpl w:val="9F2493EE"/>
    <w:lvl w:ilvl="0" w:tplc="0406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609091B"/>
    <w:multiLevelType w:val="hybridMultilevel"/>
    <w:tmpl w:val="FD24E330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510747C9"/>
    <w:multiLevelType w:val="hybridMultilevel"/>
    <w:tmpl w:val="04A468DC"/>
    <w:lvl w:ilvl="0" w:tplc="2BD049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654DE"/>
    <w:multiLevelType w:val="hybridMultilevel"/>
    <w:tmpl w:val="FB849C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0C83"/>
    <w:multiLevelType w:val="hybridMultilevel"/>
    <w:tmpl w:val="49B04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D540F"/>
    <w:multiLevelType w:val="hybridMultilevel"/>
    <w:tmpl w:val="CB0AB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A7229"/>
    <w:multiLevelType w:val="hybridMultilevel"/>
    <w:tmpl w:val="1244397E"/>
    <w:lvl w:ilvl="0" w:tplc="AAA06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4932"/>
    <w:multiLevelType w:val="hybridMultilevel"/>
    <w:tmpl w:val="FB826E24"/>
    <w:lvl w:ilvl="0" w:tplc="5FA25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B0B9D"/>
    <w:multiLevelType w:val="hybridMultilevel"/>
    <w:tmpl w:val="910054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9E"/>
    <w:rsid w:val="00015919"/>
    <w:rsid w:val="00067D97"/>
    <w:rsid w:val="0008454E"/>
    <w:rsid w:val="000B1ACF"/>
    <w:rsid w:val="000B390E"/>
    <w:rsid w:val="000D314B"/>
    <w:rsid w:val="00114A9A"/>
    <w:rsid w:val="001444B4"/>
    <w:rsid w:val="00151FDD"/>
    <w:rsid w:val="00155992"/>
    <w:rsid w:val="00157CB2"/>
    <w:rsid w:val="00167EAE"/>
    <w:rsid w:val="00182F1C"/>
    <w:rsid w:val="00184010"/>
    <w:rsid w:val="001C516F"/>
    <w:rsid w:val="001F2D9E"/>
    <w:rsid w:val="00202569"/>
    <w:rsid w:val="00211F73"/>
    <w:rsid w:val="00282B73"/>
    <w:rsid w:val="002B7D51"/>
    <w:rsid w:val="002C7B86"/>
    <w:rsid w:val="00340FED"/>
    <w:rsid w:val="00353EDB"/>
    <w:rsid w:val="003669A5"/>
    <w:rsid w:val="003718C8"/>
    <w:rsid w:val="003858C4"/>
    <w:rsid w:val="003F7EA4"/>
    <w:rsid w:val="004075FE"/>
    <w:rsid w:val="00411696"/>
    <w:rsid w:val="00444199"/>
    <w:rsid w:val="00463293"/>
    <w:rsid w:val="00470693"/>
    <w:rsid w:val="0047572A"/>
    <w:rsid w:val="004850C2"/>
    <w:rsid w:val="00486AAA"/>
    <w:rsid w:val="004A7535"/>
    <w:rsid w:val="004B4BEE"/>
    <w:rsid w:val="004D20E1"/>
    <w:rsid w:val="00511E5D"/>
    <w:rsid w:val="0053219C"/>
    <w:rsid w:val="005357BA"/>
    <w:rsid w:val="00541434"/>
    <w:rsid w:val="00561741"/>
    <w:rsid w:val="00584C7F"/>
    <w:rsid w:val="005B7FF6"/>
    <w:rsid w:val="005C08B9"/>
    <w:rsid w:val="005D213D"/>
    <w:rsid w:val="00610BD0"/>
    <w:rsid w:val="00614AA6"/>
    <w:rsid w:val="00632EDD"/>
    <w:rsid w:val="00643791"/>
    <w:rsid w:val="00660749"/>
    <w:rsid w:val="00663E54"/>
    <w:rsid w:val="006A04AF"/>
    <w:rsid w:val="006B3A76"/>
    <w:rsid w:val="006D688A"/>
    <w:rsid w:val="006E6771"/>
    <w:rsid w:val="006F0548"/>
    <w:rsid w:val="006F3489"/>
    <w:rsid w:val="00701395"/>
    <w:rsid w:val="00701783"/>
    <w:rsid w:val="00732B67"/>
    <w:rsid w:val="00734331"/>
    <w:rsid w:val="00734BA1"/>
    <w:rsid w:val="0074531B"/>
    <w:rsid w:val="00770BFA"/>
    <w:rsid w:val="007A341B"/>
    <w:rsid w:val="007A7075"/>
    <w:rsid w:val="007D6EEE"/>
    <w:rsid w:val="007E220E"/>
    <w:rsid w:val="00873D7B"/>
    <w:rsid w:val="0087706E"/>
    <w:rsid w:val="00896B60"/>
    <w:rsid w:val="008C0A55"/>
    <w:rsid w:val="008D0414"/>
    <w:rsid w:val="008D725E"/>
    <w:rsid w:val="008E3666"/>
    <w:rsid w:val="00901845"/>
    <w:rsid w:val="009046AA"/>
    <w:rsid w:val="00911FC5"/>
    <w:rsid w:val="00942681"/>
    <w:rsid w:val="00945273"/>
    <w:rsid w:val="00961CFD"/>
    <w:rsid w:val="0096663E"/>
    <w:rsid w:val="009704A6"/>
    <w:rsid w:val="009904B2"/>
    <w:rsid w:val="00990A57"/>
    <w:rsid w:val="009B0681"/>
    <w:rsid w:val="009E467A"/>
    <w:rsid w:val="009F6DAA"/>
    <w:rsid w:val="00A2267E"/>
    <w:rsid w:val="00A47A04"/>
    <w:rsid w:val="00A56CC8"/>
    <w:rsid w:val="00A60D35"/>
    <w:rsid w:val="00A723E0"/>
    <w:rsid w:val="00A76818"/>
    <w:rsid w:val="00A80BF2"/>
    <w:rsid w:val="00A83CF6"/>
    <w:rsid w:val="00AB701A"/>
    <w:rsid w:val="00AC48F0"/>
    <w:rsid w:val="00AD38E9"/>
    <w:rsid w:val="00AF0E15"/>
    <w:rsid w:val="00B110AE"/>
    <w:rsid w:val="00B20F97"/>
    <w:rsid w:val="00B24672"/>
    <w:rsid w:val="00B31A99"/>
    <w:rsid w:val="00B57867"/>
    <w:rsid w:val="00B62CD4"/>
    <w:rsid w:val="00B73443"/>
    <w:rsid w:val="00B85A36"/>
    <w:rsid w:val="00B87233"/>
    <w:rsid w:val="00BC1B60"/>
    <w:rsid w:val="00BD169B"/>
    <w:rsid w:val="00BE0565"/>
    <w:rsid w:val="00BE2F31"/>
    <w:rsid w:val="00BE7743"/>
    <w:rsid w:val="00C021F6"/>
    <w:rsid w:val="00C031A2"/>
    <w:rsid w:val="00C8615C"/>
    <w:rsid w:val="00CD7521"/>
    <w:rsid w:val="00CD7870"/>
    <w:rsid w:val="00D00BB0"/>
    <w:rsid w:val="00D11D47"/>
    <w:rsid w:val="00D15CE0"/>
    <w:rsid w:val="00D3748E"/>
    <w:rsid w:val="00D46B5C"/>
    <w:rsid w:val="00D566C1"/>
    <w:rsid w:val="00D90FFA"/>
    <w:rsid w:val="00DF29BD"/>
    <w:rsid w:val="00DF2D23"/>
    <w:rsid w:val="00E04902"/>
    <w:rsid w:val="00E144F8"/>
    <w:rsid w:val="00E52534"/>
    <w:rsid w:val="00EA077D"/>
    <w:rsid w:val="00EC3F75"/>
    <w:rsid w:val="00EF2DA0"/>
    <w:rsid w:val="00F02B8A"/>
    <w:rsid w:val="00F038F7"/>
    <w:rsid w:val="00F17D31"/>
    <w:rsid w:val="00F4181F"/>
    <w:rsid w:val="00F47A91"/>
    <w:rsid w:val="00F75880"/>
    <w:rsid w:val="00F77BAC"/>
    <w:rsid w:val="00F8533B"/>
    <w:rsid w:val="00FA1D6D"/>
    <w:rsid w:val="00FB2572"/>
    <w:rsid w:val="00FF2035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8DB9"/>
  <w15:docId w15:val="{7D7DA2B8-F4F6-4F45-ADB3-0F659A96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F6"/>
  </w:style>
  <w:style w:type="paragraph" w:styleId="Heading1">
    <w:name w:val="heading 1"/>
    <w:basedOn w:val="Normal"/>
    <w:next w:val="Normal"/>
    <w:link w:val="Heading1Char"/>
    <w:uiPriority w:val="9"/>
    <w:qFormat/>
    <w:rsid w:val="002C7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16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C7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7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7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A6C9-AEBD-49ED-94D1-F67C967D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812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Pedersen</dc:creator>
  <cp:keywords/>
  <dc:description/>
  <cp:lastModifiedBy>Gitte Pedersen</cp:lastModifiedBy>
  <cp:revision>7</cp:revision>
  <cp:lastPrinted>2015-12-18T13:01:00Z</cp:lastPrinted>
  <dcterms:created xsi:type="dcterms:W3CDTF">2015-12-18T12:50:00Z</dcterms:created>
  <dcterms:modified xsi:type="dcterms:W3CDTF">2017-12-11T11:18:00Z</dcterms:modified>
</cp:coreProperties>
</file>